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</w:t>
      </w:r>
      <w:r w:rsidDel="00000000" w:rsidR="00000000" w:rsidRPr="00000000">
        <w:rPr>
          <w:b w:val="1"/>
          <w:rtl w:val="0"/>
        </w:rPr>
        <w:t xml:space="preserve"> DE PONTUAÇÃO PARA CREDENCIAMENTO DE PROFESSORES(AS) NO PPGCOMP – UFMT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QUADRIÊNIO 2025-2028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rtl w:val="0"/>
        </w:rPr>
        <w:t xml:space="preserve">Produção científica publicada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6.666666666668"/>
        <w:gridCol w:w="1823.333333333333"/>
        <w:gridCol w:w="2040"/>
        <w:tblGridChange w:id="0">
          <w:tblGrid>
            <w:gridCol w:w="5136.666666666668"/>
            <w:gridCol w:w="1823.333333333333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da publicação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por publicação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do solicitante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Periódico A1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Periódico A2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Periódico 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Periódico 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 A1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 A2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 A3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 A4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Diversas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16.666666666667"/>
        <w:gridCol w:w="1788.3333333333335"/>
        <w:gridCol w:w="1485"/>
        <w:gridCol w:w="1650"/>
        <w:tblGridChange w:id="0">
          <w:tblGrid>
            <w:gridCol w:w="4016.666666666667"/>
            <w:gridCol w:w="1788.3333333333335"/>
            <w:gridCol w:w="148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por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máxima por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do solicitante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de projeto com financiamento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projeto com financiamento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 Bolsista PQ ou equivalente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principal concluída na Pós-Graduação stricto sensu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principal concluída na Iniciação Científica, Graduação ou Especialização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Organização de eventos científicos nacional ou internacional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Organização de eventos científicos local ou estadual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Produção técnica de registro de software ou patente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Membro de conselhos editoriais de revistas qualificadas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redes de pesquisa internacional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Publicação de artigo com autores estrangeiros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.0005454545455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